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882150" w14:textId="1181CFE6" w:rsidR="00A95253" w:rsidRDefault="00A95253">
      <w:pPr>
        <w:pStyle w:val="a3"/>
        <w:ind w:left="0"/>
        <w:jc w:val="both"/>
        <w:rPr>
          <w:rFonts w:ascii="Minion Pro" w:eastAsia="宋体" w:hAnsi="Minion Pro"/>
          <w:sz w:val="18"/>
          <w:szCs w:val="18"/>
          <w:lang w:eastAsia="zh-CN"/>
        </w:rPr>
      </w:pPr>
    </w:p>
    <w:p w14:paraId="7572BE3F" w14:textId="04A1EFB5" w:rsidR="00A95253" w:rsidRDefault="00000000">
      <w:pPr>
        <w:pStyle w:val="a3"/>
        <w:ind w:left="0"/>
        <w:jc w:val="both"/>
        <w:rPr>
          <w:rFonts w:ascii="Minion Pro" w:eastAsia="宋体" w:hAnsi="Minion Pro"/>
          <w:sz w:val="18"/>
          <w:szCs w:val="18"/>
          <w:lang w:eastAsia="zh-CN"/>
        </w:rPr>
      </w:pPr>
      <w:r>
        <w:rPr>
          <w:rFonts w:ascii="Minion Pro" w:hAnsi="Minion Pro"/>
          <w:sz w:val="18"/>
          <w:szCs w:val="18"/>
        </w:rPr>
        <w:t xml:space="preserve">Figure </w:t>
      </w:r>
      <w:r w:rsidR="003142EB">
        <w:rPr>
          <w:rFonts w:ascii="Minion Pro" w:eastAsiaTheme="minorEastAsia" w:hAnsi="Minion Pro" w:hint="eastAsia"/>
          <w:sz w:val="18"/>
          <w:szCs w:val="18"/>
          <w:lang w:eastAsia="zh-CN"/>
        </w:rPr>
        <w:t>S</w:t>
      </w:r>
      <w:r>
        <w:rPr>
          <w:rFonts w:ascii="Minion Pro" w:eastAsia="宋体" w:hAnsi="Minion Pro" w:hint="eastAsia"/>
          <w:sz w:val="18"/>
          <w:szCs w:val="18"/>
          <w:lang w:eastAsia="zh-CN"/>
        </w:rPr>
        <w:t xml:space="preserve">1: </w:t>
      </w:r>
      <w:r>
        <w:rPr>
          <w:rFonts w:ascii="Minion Pro" w:eastAsia="宋体" w:hAnsi="Minion Pro"/>
          <w:sz w:val="18"/>
          <w:szCs w:val="18"/>
          <w:lang w:eastAsia="zh-CN"/>
        </w:rPr>
        <w:t>Acridine orange/Ethidium bromide (</w:t>
      </w:r>
      <w:r>
        <w:rPr>
          <w:rFonts w:ascii="Minion Pro" w:hAnsi="Minion Pro"/>
          <w:sz w:val="18"/>
          <w:szCs w:val="18"/>
        </w:rPr>
        <w:t>AO/EB) staining was performed to assess the induction of apoptotic cells following the time-delayed combination treatments in H1299 (A and B) and H1975 cells (C and D). In Figures A and C, PPL is added first followed by the other treatment. In Figures B and D, GEF, ERL, and CIS are added first followed by PPL</w:t>
      </w:r>
      <w:r>
        <w:rPr>
          <w:rFonts w:ascii="Minion Pro" w:eastAsia="宋体" w:hAnsi="Minion Pro" w:hint="eastAsia"/>
          <w:sz w:val="18"/>
          <w:szCs w:val="18"/>
          <w:lang w:eastAsia="zh-CN"/>
        </w:rPr>
        <w:t>.</w:t>
      </w:r>
      <w:r>
        <w:rPr>
          <w:rFonts w:ascii="Minion Pro" w:eastAsia="宋体" w:hAnsi="Minion Pro"/>
          <w:sz w:val="18"/>
          <w:szCs w:val="18"/>
          <w:lang w:eastAsia="zh-CN"/>
        </w:rPr>
        <w:t xml:space="preserve"> The AO panel represents live cells (green fluorescence). The EB panel represents the apoptotic/dead cells (red fluorescence</w:t>
      </w:r>
      <w:proofErr w:type="gramStart"/>
      <w:r>
        <w:rPr>
          <w:rFonts w:ascii="Minion Pro" w:eastAsia="宋体" w:hAnsi="Minion Pro"/>
          <w:sz w:val="18"/>
          <w:szCs w:val="18"/>
          <w:lang w:eastAsia="zh-CN"/>
        </w:rPr>
        <w:t>)</w:t>
      </w:r>
      <w:proofErr w:type="gramEnd"/>
      <w:r>
        <w:rPr>
          <w:rFonts w:ascii="Minion Pro" w:eastAsia="宋体" w:hAnsi="Minion Pro"/>
          <w:sz w:val="18"/>
          <w:szCs w:val="18"/>
          <w:lang w:eastAsia="zh-CN"/>
        </w:rPr>
        <w:t xml:space="preserve"> and the Merge panel represents live and dead cells.</w:t>
      </w:r>
    </w:p>
    <w:p w14:paraId="649A83C2" w14:textId="77777777" w:rsidR="003142EB" w:rsidRDefault="003142EB" w:rsidP="003142EB">
      <w:pPr>
        <w:rPr>
          <w:rFonts w:ascii="Minion Pro" w:eastAsiaTheme="minorEastAsia" w:hAnsi="Minion Pro" w:cs="Minion Pro"/>
          <w:sz w:val="18"/>
          <w:szCs w:val="18"/>
          <w:lang w:eastAsia="zh-CN"/>
        </w:rPr>
      </w:pPr>
    </w:p>
    <w:p w14:paraId="4168878A" w14:textId="09A6E5F5" w:rsidR="00A95253" w:rsidRDefault="003142EB">
      <w:pPr>
        <w:rPr>
          <w:rFonts w:hint="eastAsia"/>
        </w:rPr>
      </w:pPr>
      <w:r>
        <w:rPr>
          <w:rFonts w:ascii="Minion Pro" w:hAnsi="Minion Pro"/>
          <w:sz w:val="18"/>
          <w:szCs w:val="18"/>
        </w:rPr>
        <w:t xml:space="preserve">Figure </w:t>
      </w:r>
      <w:r>
        <w:rPr>
          <w:rFonts w:ascii="Minion Pro" w:eastAsiaTheme="minorEastAsia" w:hAnsi="Minion Pro" w:hint="eastAsia"/>
          <w:sz w:val="18"/>
          <w:szCs w:val="18"/>
          <w:lang w:eastAsia="zh-CN"/>
        </w:rPr>
        <w:t>S</w:t>
      </w:r>
      <w:r w:rsidR="00000000">
        <w:rPr>
          <w:rFonts w:ascii="Minion Pro" w:eastAsia="宋体" w:hAnsi="Minion Pro" w:cs="Minion Pro"/>
          <w:sz w:val="18"/>
          <w:szCs w:val="18"/>
          <w:lang w:eastAsia="zh-CN"/>
        </w:rPr>
        <w:t>2</w:t>
      </w:r>
      <w:r w:rsidR="00000000">
        <w:rPr>
          <w:rFonts w:ascii="Minion Pro" w:hAnsi="Minion Pro" w:cs="Minion Pro"/>
          <w:sz w:val="18"/>
          <w:szCs w:val="18"/>
        </w:rPr>
        <w:t xml:space="preserve">: Representative flow cytometry graphs generated using </w:t>
      </w:r>
      <w:proofErr w:type="spellStart"/>
      <w:r w:rsidR="00000000">
        <w:rPr>
          <w:rFonts w:ascii="Minion Pro" w:hAnsi="Minion Pro" w:cs="Minion Pro"/>
          <w:sz w:val="18"/>
          <w:szCs w:val="18"/>
        </w:rPr>
        <w:t>Muse</w:t>
      </w:r>
      <w:r w:rsidR="00000000">
        <w:rPr>
          <w:rFonts w:ascii="Minion Pro" w:hAnsi="Minion Pro" w:cs="Minion Pro"/>
          <w:sz w:val="18"/>
          <w:szCs w:val="18"/>
          <w:vertAlign w:val="superscript"/>
        </w:rPr>
        <w:t>TM</w:t>
      </w:r>
      <w:proofErr w:type="spellEnd"/>
      <w:r w:rsidR="00000000">
        <w:rPr>
          <w:rFonts w:ascii="Minion Pro" w:hAnsi="Minion Pro" w:cs="Minion Pro"/>
          <w:sz w:val="18"/>
          <w:szCs w:val="18"/>
        </w:rPr>
        <w:t xml:space="preserve"> Cell Analyzer following PPL, GEF, ERL and CIS treatment in H1299 (above) and H1975 (Below). For H1299 cells the concentrations used were PPL (2.5 µM), GEF (100 µM), ERL (65 µM), CIS (25 µM). For H1975 cells the concentrations used were PPL (2.5 µM), GEF (25 µM), ERL (25 µM), CIS (50 µM). The graph depicts the percentage of Live cells, early apoptotic, late apoptotic, and dead cells in different quadrants</w:t>
      </w:r>
      <w:r w:rsidR="00000000">
        <w:rPr>
          <w:rFonts w:ascii="Minion Pro" w:eastAsia="宋体" w:hAnsi="Minion Pro" w:cs="Minion Pro"/>
          <w:sz w:val="18"/>
          <w:szCs w:val="18"/>
          <w:lang w:eastAsia="zh-CN"/>
        </w:rPr>
        <w:t>.</w:t>
      </w:r>
    </w:p>
    <w:p w14:paraId="62248E1A" w14:textId="62D08D3E" w:rsidR="00A95253" w:rsidRDefault="00A95253">
      <w:pPr>
        <w:jc w:val="both"/>
        <w:rPr>
          <w:rFonts w:ascii="Minion Pro" w:eastAsia="宋体" w:hAnsi="Minion Pro"/>
          <w:sz w:val="18"/>
          <w:szCs w:val="18"/>
          <w:lang w:eastAsia="zh-CN"/>
        </w:rPr>
      </w:pPr>
    </w:p>
    <w:p w14:paraId="2F6C5489" w14:textId="13CD371B" w:rsidR="00A95253" w:rsidRDefault="003142EB">
      <w:pPr>
        <w:jc w:val="both"/>
        <w:rPr>
          <w:rFonts w:ascii="Minion Pro" w:hAnsi="Minion Pro"/>
          <w:sz w:val="18"/>
          <w:szCs w:val="18"/>
        </w:rPr>
      </w:pPr>
      <w:r>
        <w:rPr>
          <w:rFonts w:ascii="Minion Pro" w:hAnsi="Minion Pro"/>
          <w:sz w:val="18"/>
          <w:szCs w:val="18"/>
        </w:rPr>
        <w:t xml:space="preserve">Figure </w:t>
      </w:r>
      <w:r>
        <w:rPr>
          <w:rFonts w:ascii="Minion Pro" w:eastAsiaTheme="minorEastAsia" w:hAnsi="Minion Pro" w:hint="eastAsia"/>
          <w:sz w:val="18"/>
          <w:szCs w:val="18"/>
          <w:lang w:eastAsia="zh-CN"/>
        </w:rPr>
        <w:t>S</w:t>
      </w:r>
      <w:r w:rsidR="00000000">
        <w:rPr>
          <w:rFonts w:ascii="Minion Pro" w:eastAsia="宋体" w:hAnsi="Minion Pro" w:hint="eastAsia"/>
          <w:sz w:val="18"/>
          <w:szCs w:val="18"/>
          <w:lang w:eastAsia="zh-CN"/>
        </w:rPr>
        <w:t>3</w:t>
      </w:r>
      <w:r w:rsidR="00000000">
        <w:rPr>
          <w:rFonts w:ascii="Minion Pro" w:hAnsi="Minion Pro"/>
          <w:sz w:val="18"/>
          <w:szCs w:val="18"/>
        </w:rPr>
        <w:t>: Graphical representation of flow cytometric analysis of A) H1299 and B) H1975 cells. Dimethyl sulfoxide (DMSO) solution was used as a control. Compared with the control group, *</w:t>
      </w:r>
      <w:r w:rsidR="00000000">
        <w:rPr>
          <w:rFonts w:ascii="Minion Pro" w:hAnsi="Minion Pro"/>
          <w:i/>
          <w:iCs/>
          <w:sz w:val="18"/>
          <w:szCs w:val="18"/>
        </w:rPr>
        <w:t>p</w:t>
      </w:r>
      <w:r w:rsidR="00000000">
        <w:rPr>
          <w:rFonts w:ascii="Minion Pro" w:eastAsia="宋体" w:hAnsi="Minion Pro" w:hint="eastAsia"/>
          <w:i/>
          <w:iCs/>
          <w:sz w:val="18"/>
          <w:szCs w:val="18"/>
          <w:lang w:eastAsia="zh-CN"/>
        </w:rPr>
        <w:t xml:space="preserve"> </w:t>
      </w:r>
      <w:r w:rsidR="00000000">
        <w:rPr>
          <w:rFonts w:ascii="Minion Pro" w:hAnsi="Minion Pro"/>
          <w:sz w:val="18"/>
          <w:szCs w:val="18"/>
        </w:rPr>
        <w:t>&lt; 0.05, **</w:t>
      </w:r>
      <w:r w:rsidR="00000000">
        <w:rPr>
          <w:rFonts w:ascii="Minion Pro" w:hAnsi="Minion Pro"/>
          <w:i/>
          <w:iCs/>
          <w:sz w:val="18"/>
          <w:szCs w:val="18"/>
        </w:rPr>
        <w:t>p</w:t>
      </w:r>
      <w:r w:rsidR="00000000">
        <w:rPr>
          <w:rFonts w:ascii="Minion Pro" w:eastAsia="宋体" w:hAnsi="Minion Pro" w:hint="eastAsia"/>
          <w:i/>
          <w:iCs/>
          <w:sz w:val="18"/>
          <w:szCs w:val="18"/>
          <w:lang w:eastAsia="zh-CN"/>
        </w:rPr>
        <w:t xml:space="preserve"> </w:t>
      </w:r>
      <w:r w:rsidR="00000000">
        <w:rPr>
          <w:rFonts w:ascii="Minion Pro" w:hAnsi="Minion Pro"/>
          <w:sz w:val="18"/>
          <w:szCs w:val="18"/>
        </w:rPr>
        <w:t>&lt; 0.01, ***</w:t>
      </w:r>
      <w:r w:rsidR="00000000">
        <w:rPr>
          <w:rFonts w:ascii="Minion Pro" w:hAnsi="Minion Pro"/>
          <w:i/>
          <w:iCs/>
          <w:sz w:val="18"/>
          <w:szCs w:val="18"/>
        </w:rPr>
        <w:t>p</w:t>
      </w:r>
      <w:r w:rsidR="00000000">
        <w:rPr>
          <w:rFonts w:ascii="Minion Pro" w:eastAsia="宋体" w:hAnsi="Minion Pro" w:hint="eastAsia"/>
          <w:i/>
          <w:iCs/>
          <w:sz w:val="18"/>
          <w:szCs w:val="18"/>
          <w:lang w:eastAsia="zh-CN"/>
        </w:rPr>
        <w:t xml:space="preserve"> </w:t>
      </w:r>
      <w:r w:rsidR="00000000">
        <w:rPr>
          <w:rFonts w:ascii="Minion Pro" w:hAnsi="Minion Pro"/>
          <w:sz w:val="18"/>
          <w:szCs w:val="18"/>
        </w:rPr>
        <w:t>&lt; 0.001.</w:t>
      </w:r>
    </w:p>
    <w:p w14:paraId="7C1BCBFF" w14:textId="33994401" w:rsidR="00A95253" w:rsidRDefault="00A95253">
      <w:pPr>
        <w:tabs>
          <w:tab w:val="left" w:pos="929"/>
        </w:tabs>
        <w:jc w:val="both"/>
        <w:rPr>
          <w:rFonts w:ascii="Minion Pro" w:eastAsia="宋体" w:hAnsi="Minion Pro" w:hint="eastAsia"/>
          <w:sz w:val="18"/>
          <w:szCs w:val="18"/>
          <w:lang w:eastAsia="zh-CN"/>
        </w:rPr>
      </w:pPr>
    </w:p>
    <w:p w14:paraId="516DE49B" w14:textId="63389ABD" w:rsidR="00A95253" w:rsidRDefault="003142EB">
      <w:pPr>
        <w:tabs>
          <w:tab w:val="left" w:pos="929"/>
        </w:tabs>
        <w:jc w:val="both"/>
        <w:rPr>
          <w:rFonts w:ascii="Minion Pro" w:hAnsi="Minion Pro"/>
          <w:sz w:val="18"/>
          <w:szCs w:val="18"/>
        </w:rPr>
      </w:pPr>
      <w:r>
        <w:rPr>
          <w:rFonts w:ascii="Minion Pro" w:hAnsi="Minion Pro"/>
          <w:sz w:val="18"/>
          <w:szCs w:val="18"/>
        </w:rPr>
        <w:t xml:space="preserve">Figure </w:t>
      </w:r>
      <w:r>
        <w:rPr>
          <w:rFonts w:ascii="Minion Pro" w:eastAsiaTheme="minorEastAsia" w:hAnsi="Minion Pro" w:hint="eastAsia"/>
          <w:sz w:val="18"/>
          <w:szCs w:val="18"/>
          <w:lang w:eastAsia="zh-CN"/>
        </w:rPr>
        <w:t>S</w:t>
      </w:r>
      <w:r w:rsidR="00000000">
        <w:rPr>
          <w:rFonts w:ascii="Minion Pro" w:eastAsia="宋体" w:hAnsi="Minion Pro" w:hint="eastAsia"/>
          <w:sz w:val="18"/>
          <w:szCs w:val="18"/>
          <w:lang w:eastAsia="zh-CN"/>
        </w:rPr>
        <w:t>4</w:t>
      </w:r>
      <w:r w:rsidR="00000000">
        <w:rPr>
          <w:rFonts w:ascii="Minion Pro" w:hAnsi="Minion Pro"/>
          <w:sz w:val="18"/>
          <w:szCs w:val="18"/>
        </w:rPr>
        <w:t>: A) to D) Relative expression of proteins in H1299 and H1975 cells compared to control. Dimethyl sulfoxide (DMSO) solution was used as a control. Compared with the control group, *</w:t>
      </w:r>
      <w:r w:rsidR="00000000">
        <w:rPr>
          <w:rFonts w:ascii="Minion Pro" w:hAnsi="Minion Pro"/>
          <w:i/>
          <w:iCs/>
          <w:sz w:val="18"/>
          <w:szCs w:val="18"/>
        </w:rPr>
        <w:t>p</w:t>
      </w:r>
      <w:r w:rsidR="00000000">
        <w:rPr>
          <w:rFonts w:ascii="Minion Pro" w:eastAsia="宋体" w:hAnsi="Minion Pro" w:hint="eastAsia"/>
          <w:i/>
          <w:iCs/>
          <w:sz w:val="18"/>
          <w:szCs w:val="18"/>
          <w:lang w:eastAsia="zh-CN"/>
        </w:rPr>
        <w:t xml:space="preserve"> </w:t>
      </w:r>
      <w:r w:rsidR="00000000">
        <w:rPr>
          <w:rFonts w:ascii="Minion Pro" w:hAnsi="Minion Pro"/>
          <w:sz w:val="18"/>
          <w:szCs w:val="18"/>
        </w:rPr>
        <w:t>&lt; 0.05, **</w:t>
      </w:r>
      <w:r w:rsidR="00000000">
        <w:rPr>
          <w:rFonts w:ascii="Minion Pro" w:hAnsi="Minion Pro"/>
          <w:i/>
          <w:iCs/>
          <w:sz w:val="18"/>
          <w:szCs w:val="18"/>
        </w:rPr>
        <w:t>p</w:t>
      </w:r>
      <w:r w:rsidR="00000000">
        <w:rPr>
          <w:rFonts w:ascii="Minion Pro" w:eastAsia="宋体" w:hAnsi="Minion Pro" w:hint="eastAsia"/>
          <w:i/>
          <w:iCs/>
          <w:sz w:val="18"/>
          <w:szCs w:val="18"/>
          <w:lang w:eastAsia="zh-CN"/>
        </w:rPr>
        <w:t xml:space="preserve"> </w:t>
      </w:r>
      <w:r w:rsidR="00000000">
        <w:rPr>
          <w:rFonts w:ascii="Minion Pro" w:hAnsi="Minion Pro"/>
          <w:sz w:val="18"/>
          <w:szCs w:val="18"/>
        </w:rPr>
        <w:t>&lt; 0.01, ****</w:t>
      </w:r>
      <w:r w:rsidR="00000000">
        <w:rPr>
          <w:rFonts w:ascii="Minion Pro" w:hAnsi="Minion Pro"/>
          <w:i/>
          <w:iCs/>
          <w:sz w:val="18"/>
          <w:szCs w:val="18"/>
        </w:rPr>
        <w:t>p</w:t>
      </w:r>
      <w:r w:rsidR="00000000">
        <w:rPr>
          <w:rFonts w:ascii="Minion Pro" w:eastAsia="宋体" w:hAnsi="Minion Pro" w:hint="eastAsia"/>
          <w:i/>
          <w:iCs/>
          <w:sz w:val="18"/>
          <w:szCs w:val="18"/>
          <w:lang w:eastAsia="zh-CN"/>
        </w:rPr>
        <w:t xml:space="preserve"> </w:t>
      </w:r>
      <w:r w:rsidR="00000000">
        <w:rPr>
          <w:rFonts w:ascii="Minion Pro" w:hAnsi="Minion Pro"/>
          <w:sz w:val="18"/>
          <w:szCs w:val="18"/>
        </w:rPr>
        <w:t>&lt; 0.0001.</w:t>
      </w:r>
    </w:p>
    <w:p w14:paraId="7FE7E898" w14:textId="77777777" w:rsidR="00A95253" w:rsidRDefault="00A95253">
      <w:pPr>
        <w:rPr>
          <w:rFonts w:hint="eastAsia"/>
        </w:rPr>
      </w:pPr>
    </w:p>
    <w:p w14:paraId="7ED30AB2" w14:textId="77777777" w:rsidR="00A95253" w:rsidRDefault="00A95253">
      <w:pPr>
        <w:rPr>
          <w:rFonts w:hint="eastAsia"/>
        </w:rPr>
      </w:pPr>
    </w:p>
    <w:sectPr w:rsidR="00A95253">
      <w:pgSz w:w="11910" w:h="16840"/>
      <w:pgMar w:top="760" w:right="740" w:bottom="450" w:left="860" w:header="720" w:footer="720" w:gutter="0"/>
      <w:cols w:space="13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ion Pro">
    <w:altName w:val="Cambria"/>
    <w:panose1 w:val="02040503050201020203"/>
    <w:charset w:val="00"/>
    <w:family w:val="roman"/>
    <w:notTrueType/>
    <w:pitch w:val="variable"/>
    <w:sig w:usb0="E00002AF" w:usb1="5000E07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kNzQ4ZWFiZmQ4NTRhOWRkZTk3YTMwMjlmMmZhYmUifQ=="/>
  </w:docVars>
  <w:rsids>
    <w:rsidRoot w:val="4CEA277B"/>
    <w:rsid w:val="003142EB"/>
    <w:rsid w:val="00864951"/>
    <w:rsid w:val="00A10993"/>
    <w:rsid w:val="00A95253"/>
    <w:rsid w:val="00FC6DD9"/>
    <w:rsid w:val="0C94770E"/>
    <w:rsid w:val="0FE64614"/>
    <w:rsid w:val="1D1B2ECF"/>
    <w:rsid w:val="4168282C"/>
    <w:rsid w:val="43EC7BBD"/>
    <w:rsid w:val="452627E2"/>
    <w:rsid w:val="49F92CC3"/>
    <w:rsid w:val="4CEA277B"/>
    <w:rsid w:val="5B200221"/>
    <w:rsid w:val="61F359F2"/>
    <w:rsid w:val="630F26B0"/>
    <w:rsid w:val="6BC4672D"/>
    <w:rsid w:val="72933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5B4AF"/>
  <w15:docId w15:val="{2D4230DB-D9C0-4559-AD72-C3EA2B213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pPr>
    <w:rPr>
      <w:rFonts w:ascii="PMingLiU" w:eastAsia="PMingLiU" w:hAnsi="PMingLiU" w:cs="PMingLiU"/>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03"/>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Daisy</dc:creator>
  <cp:lastModifiedBy>TSP TSP</cp:lastModifiedBy>
  <cp:revision>3</cp:revision>
  <dcterms:created xsi:type="dcterms:W3CDTF">2024-08-02T08:30:00Z</dcterms:created>
  <dcterms:modified xsi:type="dcterms:W3CDTF">2024-08-19T07:16:00Z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6475A673FB3047559F9861085DF8D84B_11</vt:lpwstr>
  </property>
</Properties>
</file>